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8E" w:rsidRDefault="00D95D8E" w:rsidP="00D95D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071696" w:rsidRPr="0022415D" w:rsidRDefault="00071696" w:rsidP="00071696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курс/группа____________________________</w:t>
      </w: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C1595E">
        <w:rPr>
          <w:b/>
          <w:sz w:val="20"/>
          <w:szCs w:val="20"/>
        </w:rPr>
        <w:t>4</w:t>
      </w:r>
    </w:p>
    <w:p w:rsid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35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1. Плательщиками налога на доходы физических лиц признаются: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граждане РФ;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лица без гражданства;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физические лица, являющиеся налоговыми резидентами РФ, а также физические лица, получающие доходы от источников в России;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граждане РФ, проживающие на территории государства менее 100 дней.</w:t>
      </w:r>
    </w:p>
    <w:p w:rsidR="003B5769" w:rsidRPr="003B5769" w:rsidRDefault="003B5769" w:rsidP="003B5769">
      <w:pPr>
        <w:shd w:val="clear" w:color="auto" w:fill="FFFFFF"/>
        <w:tabs>
          <w:tab w:val="left" w:pos="835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2. В состав совокупного облагаемого дохода физических лиц включаются: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суммы единовременных пособий, пострадавшим от террористических актов на территории РФ;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суточные сверх установленных законодательством норм;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пенсии российских пенсионеров;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стипендии аспирантов.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3. В совокупный годовой доход НЕ включаются: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алименты, получаемые налогоплательщиком;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суммы, получаемые работниками медицинских учреждений за сбор крови;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возмещение платы за обучение детей в учебных заведениях;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оплата работодателем коммунальных услуг.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4. Если по каждому виду полученных налогоплательщиком доходов установлены разные ставки, то налоговая база определяется: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по максимальной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по средней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по средневзвешенной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по каждому виду доходов отдельно.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5. Не подлежат налогообложению доходы физических лиц в виде процентов, полученных по вкладам в банках, находящихся на территории РФ, если ставка: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превышает 9%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не превышает 15%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превышает 24%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независимо от размера установленной ставки.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6. Предоставляется ли стандартный налоговый вычет родителям, если ребенок, достигший 20 лет, является студентом очной формы обучения, состоит в зарегистрированном браке и имеет ребенка?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каждому из его родителей;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каждому из его родителей, если жена также является студенткой;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предоставляется, если он проживает отдельно от родителей;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предоставляется, если он проживает совместно с родителями.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7. Если работник увольняется, проработав последний месяц не полностью, вычеты за последний неполный месяц: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производятся;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производятся по желанию налогоплательщика;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производятся независимо от количества отработанных дней;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производятся или не производятся в зависимости от положений учетной политики организации.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8. Налоговый вычет в размере 1400 руб. распространяется на ребенка: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только первого;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только второго;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первого и второго;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третьего и каждого последующего.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9. Лечение физического лица было оплачено за счет средств работодателя. Социальный налоговый вычет: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налогоплательщику;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налогоплательщику в размере 50% стоимости лечения;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предоставляется налогоплательщику, если это предусмотрено трудовым договором;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 налогоплательщику.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10. При продаже жилого дома имущественный налоговый вычет предоставляется в полной сумме, полученной от продажи, если дом находился в собственности налогоплательщика: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менее трех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более трех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менее пяти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пять лет и более.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11. Налоговая ставка в размере 35% установлена в отношении доходов, полученных: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физическими лицами, не являющимися налоговыми резидентами РФ;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от работодателя в форме оплаты коммунальных услуг;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 натуральном выражении;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в виде материальной выгоды от экономии на процентах при получении ссуды менее чем под 2/3 ставки рефинансирования ЦБ РФ.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12. Общая сумма налога, подлежащая уплате в бюджет индивидуальным предпринимателем, уплачивается: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до 15 марта года, следующего за отчетным;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до 1 июля года, следующего за отчетным;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до 15 июля года, следующего за истекшим налоговым периодом;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в течение 10 дней после даты, установленной для подачи декларации.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13. Ставка налога на доходы физических лиц зависит от: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величины налоговой базы;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вида дохода;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величины совокупного годового дохода;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количества детей, находящихся на иждивении.</w:t>
      </w:r>
    </w:p>
    <w:p w:rsidR="003B5769" w:rsidRPr="003B5769" w:rsidRDefault="003B5769" w:rsidP="003B5769">
      <w:pPr>
        <w:shd w:val="clear" w:color="auto" w:fill="FFFFFF"/>
        <w:tabs>
          <w:tab w:val="left" w:pos="88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8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14. Стоимость квартиры, подаренная родителями дочери: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подлежит налогообложению НДФЛ;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подлежит налогообложению НДФЛ, но только в части, превышающей 1 млн. руб.;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подлежит налогообложению НДФЛ;</w:t>
      </w:r>
    </w:p>
    <w:p w:rsid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подлежит налогообложению НДФЛ, если они проживают совместно.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lastRenderedPageBreak/>
        <w:t>1</w:t>
      </w:r>
      <w:r>
        <w:rPr>
          <w:rFonts w:ascii="Times New Roman CYR" w:hAnsi="Times New Roman CYR" w:cs="Times New Roman CYR"/>
          <w:b/>
          <w:sz w:val="20"/>
          <w:szCs w:val="20"/>
        </w:rPr>
        <w:t>5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Не являются плательщиками налога на прибыль: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организации, применяющие упрощенную систему налогообложения;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страховые организации;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 xml:space="preserve">в) Центральный банк </w:t>
      </w:r>
      <w:r w:rsidRPr="000A3E1F">
        <w:rPr>
          <w:sz w:val="20"/>
          <w:szCs w:val="20"/>
        </w:rPr>
        <w:t>РФ</w:t>
      </w:r>
      <w:r w:rsidRPr="000A3E1F">
        <w:rPr>
          <w:rFonts w:ascii="Times New Roman CYR" w:hAnsi="Times New Roman CYR" w:cs="Times New Roman CYR"/>
          <w:sz w:val="20"/>
          <w:szCs w:val="20"/>
        </w:rPr>
        <w:t>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иностранные организации, имеющие доходы от источников в РФ.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16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Доходами от реализации признаются: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50% выручки от реализации товаров;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только выручка от реализации работ;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выручка от реализации товаров (работ, услуг) как собственного производства, так и ранее приобретенных;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выручка от оказания услуг.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17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Ставки налога на прибыль являются: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прогрессивными;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регрессивными;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твердыми;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пропорциональными.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18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В состав внереализационных расходов включаются: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расходы на услуги банков;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безвозмездно переданное другой организации имущество;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единый налог на вмененный доход для отдельных видов деятельности;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сверхнормативные расходы по командировкам.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19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При определении налоговой базы не учитываются: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стоимость безвозмездно полученного имущества от взаимозависимых лиц;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имущество, полученное в форме залога;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суммы полученных санкций по договорам простого товарищества;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доходы в виде процентов по договорам займа.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20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Не подлежат налогообложению доходы в виде: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безвозмездно полученного имущества;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имущества, полученного в рамках целевого финансирования;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дохода прошлых лет, выявленного в отчетном (налоговом) периоде;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процентов по кредитам займа.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21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К расходам на оплату труда НЕ относятся: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выплаты за счет средств специального назначения;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надбавки за непрерывный стаж работы в районах Крайнего Севера;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единовременные вознаграждения за выслугу лет;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расходы на оплату труда доноров за дни обследования.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22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Амортизируемое имущество распределяется по амортизационным группам в соответствии: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 первоначальной стоимостью имущества;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 классификацией, принятой в бухгалтерском учете;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 технологическим участием имущества в производственном процессе;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со сроком его полезного использования.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23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Способом уплаты налога на прибыль организации является: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кадастровый;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декларационный;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административный;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реестровый.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24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В расходы для целей налогообложения НЕ включаются: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командировочные расходы в пределах установленных норм;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расходы на оплату труда на время учебных отпусков;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расходы на рекламу сверх предусмотренных нормативов;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расходу на услуги связи.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25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Налоговая база для расчета налога на прибыль определяется по данным: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бухгалтерского учета;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управленческого учета;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налогового учета;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кадастрового учета.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26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Для целей налогообложения амортизация активов может начисляться: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линейным и нелинейным методом;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методом ускоренной амортизации;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методом уменьшающегося остатка;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линейным методом.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27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Налоговым периодом по налогу на прибыль организаций признается: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декада;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календарный месяц;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календарный квартал;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календарный год.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28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Налоговая база в 2017 г. уменьшается на суммы убытков предыдущих периодов в размере: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фактически понесенных убытков;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фактически понесенных убытков, но не более 50% облагаемой базы текущего года;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фактически понесенных убытков, но не более 30% налоговой базы каждого отчетного (налогового) периода;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фактически понесенных убытков, но не более 30% налоговой базы, исчисленной за налоговый период.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29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По налогу на прибыль установлены следующие ставки в зависимости от вида дохода: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20%, 15%, 10%, 6%, 0%;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20 %, 15%, 0%;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20%, 15%, 5%;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0%, 9%, 10%, 15%, 20%.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30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Суммы доходов иностранных организаций от использования, содержания или сдачи в аренду подвижных транспортных средств в связи с осуществлением международных перевозок облагаются налогом на прибыль по ставке: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6%;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10%;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15%;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10 или 15% в зависимости от объемов реализации.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31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. Квартальные авансовые платежи по налогу на прибыль имеют право уплачивать: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все организации;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все организации, кроме бюджетных учреждений и организаций, не перешедших на исчисление ежемесячных авансовых платежей;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все организации, у которых за предыдущие четыре квартала доход от реализации товаров (работ, услуг) не превысил в среднем 1 млн. руб. за каждый квартал;</w:t>
      </w:r>
    </w:p>
    <w:p w:rsidR="00C1595E" w:rsidRPr="000A3E1F" w:rsidRDefault="00C1595E" w:rsidP="00C1595E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все организации, у которых за предыдущие четыре квартала доход от реализации товаров (работ, услуг) не превысил в среднем 3 млн. руб. за каждый квартал.</w:t>
      </w:r>
    </w:p>
    <w:p w:rsidR="003B5769" w:rsidRPr="003B5769" w:rsidRDefault="003B57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Задание 2</w:t>
      </w: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  <w:sectPr w:rsidR="003B5769" w:rsidRPr="003B5769" w:rsidSect="00880A7E"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:rsidR="00C1595E" w:rsidRPr="00C1595E" w:rsidRDefault="00C1595E" w:rsidP="00C1595E">
      <w:pPr>
        <w:ind w:firstLine="709"/>
        <w:jc w:val="both"/>
        <w:rPr>
          <w:sz w:val="20"/>
          <w:szCs w:val="20"/>
        </w:rPr>
      </w:pPr>
      <w:r w:rsidRPr="00C1595E">
        <w:rPr>
          <w:sz w:val="20"/>
          <w:szCs w:val="20"/>
        </w:rPr>
        <w:t>За отчетный период торговая организация имеет следующие данные:</w:t>
      </w:r>
    </w:p>
    <w:p w:rsidR="00C1595E" w:rsidRPr="00C1595E" w:rsidRDefault="00C1595E" w:rsidP="00C1595E">
      <w:pPr>
        <w:numPr>
          <w:ilvl w:val="0"/>
          <w:numId w:val="2"/>
        </w:numPr>
        <w:tabs>
          <w:tab w:val="clear" w:pos="2149"/>
          <w:tab w:val="num" w:pos="-142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C1595E">
        <w:rPr>
          <w:rFonts w:ascii="Times New Roman CYR" w:hAnsi="Times New Roman CYR" w:cs="Times New Roman CYR"/>
          <w:sz w:val="20"/>
          <w:szCs w:val="20"/>
        </w:rPr>
        <w:t>выручка от продажи приобретенных ранее товаров (НДС) – 240 000 руб.;</w:t>
      </w:r>
    </w:p>
    <w:p w:rsidR="00C1595E" w:rsidRPr="00C1595E" w:rsidRDefault="00C1595E" w:rsidP="00C1595E">
      <w:pPr>
        <w:numPr>
          <w:ilvl w:val="0"/>
          <w:numId w:val="2"/>
        </w:numPr>
        <w:tabs>
          <w:tab w:val="clear" w:pos="2149"/>
          <w:tab w:val="num" w:pos="-142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C1595E">
        <w:rPr>
          <w:rFonts w:ascii="Times New Roman CYR" w:hAnsi="Times New Roman CYR" w:cs="Times New Roman CYR"/>
          <w:sz w:val="20"/>
          <w:szCs w:val="20"/>
        </w:rPr>
        <w:t>расходы, связанные с приобретением и реализацией товаров – 160 000 руб., в том числе на оплату труда – 50 000 руб.;</w:t>
      </w:r>
    </w:p>
    <w:p w:rsidR="00C1595E" w:rsidRPr="00C1595E" w:rsidRDefault="00C1595E" w:rsidP="00C1595E">
      <w:pPr>
        <w:numPr>
          <w:ilvl w:val="0"/>
          <w:numId w:val="2"/>
        </w:numPr>
        <w:tabs>
          <w:tab w:val="clear" w:pos="2149"/>
          <w:tab w:val="num" w:pos="-142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C1595E">
        <w:rPr>
          <w:rFonts w:ascii="Times New Roman CYR" w:hAnsi="Times New Roman CYR" w:cs="Times New Roman CYR"/>
          <w:sz w:val="20"/>
          <w:szCs w:val="20"/>
        </w:rPr>
        <w:t>представительские расходы – 4 000 руб.;</w:t>
      </w:r>
    </w:p>
    <w:p w:rsidR="00C1595E" w:rsidRPr="00C1595E" w:rsidRDefault="00C1595E" w:rsidP="00C1595E">
      <w:pPr>
        <w:numPr>
          <w:ilvl w:val="0"/>
          <w:numId w:val="2"/>
        </w:numPr>
        <w:tabs>
          <w:tab w:val="clear" w:pos="2149"/>
          <w:tab w:val="num" w:pos="-142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C1595E">
        <w:rPr>
          <w:rFonts w:ascii="Times New Roman CYR" w:hAnsi="Times New Roman CYR" w:cs="Times New Roman CYR"/>
          <w:sz w:val="20"/>
          <w:szCs w:val="20"/>
        </w:rPr>
        <w:t>расходы на рекламу – 8 000 руб.</w:t>
      </w:r>
    </w:p>
    <w:p w:rsidR="00C1595E" w:rsidRPr="00C1595E" w:rsidRDefault="00C1595E" w:rsidP="00C1595E">
      <w:pPr>
        <w:ind w:firstLine="709"/>
        <w:jc w:val="both"/>
        <w:rPr>
          <w:sz w:val="20"/>
          <w:szCs w:val="20"/>
        </w:rPr>
      </w:pPr>
      <w:r w:rsidRPr="00C1595E">
        <w:rPr>
          <w:sz w:val="20"/>
          <w:szCs w:val="20"/>
        </w:rPr>
        <w:t>Определить сумму прибыли, подлежащей налогообложению.</w:t>
      </w:r>
    </w:p>
    <w:p w:rsidR="00C1595E" w:rsidRPr="007A1547" w:rsidRDefault="00C1595E" w:rsidP="00C1595E">
      <w:pPr>
        <w:tabs>
          <w:tab w:val="num" w:pos="9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1696" w:rsidRPr="003B5769" w:rsidRDefault="00071696" w:rsidP="00C1595E">
      <w:pPr>
        <w:ind w:firstLine="709"/>
        <w:jc w:val="both"/>
        <w:rPr>
          <w:b/>
          <w:bCs/>
          <w:sz w:val="20"/>
          <w:szCs w:val="20"/>
        </w:rPr>
      </w:pPr>
    </w:p>
    <w:sectPr w:rsidR="00071696" w:rsidRPr="003B5769" w:rsidSect="00C1595E">
      <w:type w:val="continuous"/>
      <w:pgSz w:w="11906" w:h="16838"/>
      <w:pgMar w:top="567" w:right="567" w:bottom="567" w:left="567" w:header="709" w:footer="709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41F"/>
    <w:multiLevelType w:val="hybridMultilevel"/>
    <w:tmpl w:val="31F6F520"/>
    <w:lvl w:ilvl="0" w:tplc="93303088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42AD4"/>
    <w:multiLevelType w:val="hybridMultilevel"/>
    <w:tmpl w:val="75A0D784"/>
    <w:lvl w:ilvl="0" w:tplc="D21E76A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6"/>
    <w:rsid w:val="0004765C"/>
    <w:rsid w:val="00071696"/>
    <w:rsid w:val="003B5769"/>
    <w:rsid w:val="00880A7E"/>
    <w:rsid w:val="00953236"/>
    <w:rsid w:val="00A251DC"/>
    <w:rsid w:val="00C1595E"/>
    <w:rsid w:val="00D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098B-41CB-45D2-B134-5158659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696"/>
    <w:pPr>
      <w:spacing w:after="120"/>
    </w:pPr>
  </w:style>
  <w:style w:type="character" w:customStyle="1" w:styleId="a4">
    <w:name w:val="Основной текст Знак"/>
    <w:basedOn w:val="a0"/>
    <w:link w:val="a3"/>
    <w:rsid w:val="00071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69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69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2019-05-19T19:56:00Z</cp:lastPrinted>
  <dcterms:created xsi:type="dcterms:W3CDTF">2019-04-07T18:57:00Z</dcterms:created>
  <dcterms:modified xsi:type="dcterms:W3CDTF">2020-10-14T16:47:00Z</dcterms:modified>
</cp:coreProperties>
</file>